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EC4C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b/>
          <w:bCs/>
          <w:color w:val="272727"/>
          <w:sz w:val="26"/>
          <w:szCs w:val="26"/>
          <w:lang w:eastAsia="cs-CZ"/>
        </w:rPr>
        <w:t xml:space="preserve">11 – Místo, lhůta a způsob, kde lze podat opravný prostředek proti rozhodnutí povinného </w:t>
      </w:r>
      <w:proofErr w:type="gramStart"/>
      <w:r w:rsidRPr="00CA4331">
        <w:rPr>
          <w:rFonts w:ascii="Verdana" w:eastAsia="Times New Roman" w:hAnsi="Verdana" w:cs="Times New Roman"/>
          <w:b/>
          <w:bCs/>
          <w:color w:val="272727"/>
          <w:sz w:val="26"/>
          <w:szCs w:val="26"/>
          <w:lang w:eastAsia="cs-CZ"/>
        </w:rPr>
        <w:t>subjektu</w:t>
      </w:r>
      <w:proofErr w:type="gramEnd"/>
      <w:r w:rsidRPr="00CA4331">
        <w:rPr>
          <w:rFonts w:ascii="Verdana" w:eastAsia="Times New Roman" w:hAnsi="Verdana" w:cs="Times New Roman"/>
          <w:b/>
          <w:bCs/>
          <w:color w:val="272727"/>
          <w:sz w:val="26"/>
          <w:szCs w:val="26"/>
          <w:lang w:eastAsia="cs-CZ"/>
        </w:rPr>
        <w:t xml:space="preserve"> a to včetně výslovného uvedení požadavků, které jsou v této souvislosti kladeny na žadatele, jakož i popis postupů a pravidel, která je třeba dodržovat při těchto činnostech</w:t>
      </w:r>
    </w:p>
    <w:p w14:paraId="68D6F7DF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Postup při podání opravných prostředků proti opatřením orgánů obce je odlišný podle toho, zda se jedná o rozhodnutí ve správním řízení (podle správního řádu) v přenesené i samostatné působnosti, nebo o rozhodnutí v přenesené i samostatné působnosti, na která se pravidla správního řízení nevztahují.</w:t>
      </w:r>
    </w:p>
    <w:p w14:paraId="19F0252B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Opravný prostředek proti rozhodnutí o zamítnutí žádosti ve smyslu zákona č. 106/1999 Sb. O poskytování informací lze učinit písemně a to do 15 dnů ode dne doručení rozhodnutí nebo od marného uplynutí lhůty pro poskytnutí informace, a to k nadřízenému orgánu nejblíže vyššího stupně, podáním, učiněným u Obecního úřadu v Trhových Dušníkách orgánu, který rozhodnutí vydal nebo měl vydat (§16, odst. 1 a 2 zákona)</w:t>
      </w:r>
    </w:p>
    <w:p w14:paraId="2CCE9F77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Ve věcech samostatné působnosti rozhoduje o odvolání starosta obce Milan Smíšek.</w:t>
      </w:r>
    </w:p>
    <w:p w14:paraId="0DC85E97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Ve věcech přenesené působnosti se nadřízeným orgánem neblíže vyššího stupně rozumí</w:t>
      </w:r>
    </w:p>
    <w:p w14:paraId="5AE18FD6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 xml:space="preserve">Opravný prostředek lze podat pouze písemnou formou. Musí obsahovat jméno žadatele, v čem žadatel spatřuje porušení </w:t>
      </w:r>
      <w:proofErr w:type="gramStart"/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zákona  a</w:t>
      </w:r>
      <w:proofErr w:type="gramEnd"/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 xml:space="preserve"> kterého, čeho se žadatel domáhá a podpis žadatele.</w:t>
      </w:r>
    </w:p>
    <w:p w14:paraId="1A57DB70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Proti opatření obce, které nemá charakter rozhodnutí ve správním řízení, nelze podávat opravné prostředky, ale je možné učinit podání, které dle obsahu projedná obecní zastupitelstvo nebo starosta.</w:t>
      </w:r>
    </w:p>
    <w:p w14:paraId="378A113C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Proti usnesení zastupitelstva obce v samostatné i přenesené působnosti, která odporují zákonu, lze podat písemně návrh na pozastavení výkonu těchto usnesení</w:t>
      </w:r>
    </w:p>
    <w:p w14:paraId="46C3F174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Proti ostatním úkonům obce opravné prostředky nejsou.</w:t>
      </w:r>
    </w:p>
    <w:p w14:paraId="6612D3FE" w14:textId="77777777" w:rsidR="00CA4331" w:rsidRPr="00CA4331" w:rsidRDefault="00CA4331" w:rsidP="00CA4331">
      <w:pPr>
        <w:shd w:val="clear" w:color="auto" w:fill="FFFFFF"/>
        <w:spacing w:before="120" w:after="0" w:line="240" w:lineRule="auto"/>
        <w:jc w:val="both"/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</w:pPr>
      <w:r w:rsidRPr="00CA4331">
        <w:rPr>
          <w:rFonts w:ascii="Verdana" w:eastAsia="Times New Roman" w:hAnsi="Verdana" w:cs="Times New Roman"/>
          <w:color w:val="272727"/>
          <w:sz w:val="26"/>
          <w:szCs w:val="26"/>
          <w:lang w:eastAsia="cs-CZ"/>
        </w:rPr>
        <w:t>Došlo-li rozhodnutím obce ke zkrácení práv fyzické či právnické osoby, lze podat v souladu s § 247 a násl. zákona č. 99/1963 Sb., občanského soudního řádu v platném znění žalobu k příslušnému okresnímu soudu, případně v souladu s čl. 87, odst. 1 písm. d) Ústavy ČR ústavní stížnost k Ústavnímu soudu.</w:t>
      </w:r>
    </w:p>
    <w:p w14:paraId="786365E2" w14:textId="77777777" w:rsidR="00EE69B3" w:rsidRDefault="00EE69B3"/>
    <w:sectPr w:rsidR="00EE6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6F4A"/>
    <w:multiLevelType w:val="multilevel"/>
    <w:tmpl w:val="6F38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A"/>
    <w:rsid w:val="0060122A"/>
    <w:rsid w:val="00CA4331"/>
    <w:rsid w:val="00E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18C7"/>
  <w15:chartTrackingRefBased/>
  <w15:docId w15:val="{A0105C04-3A5F-4A7E-BC54-E039D7FD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Václav Hlaváč</cp:lastModifiedBy>
  <cp:revision>2</cp:revision>
  <dcterms:created xsi:type="dcterms:W3CDTF">2021-07-02T13:49:00Z</dcterms:created>
  <dcterms:modified xsi:type="dcterms:W3CDTF">2021-07-02T13:49:00Z</dcterms:modified>
</cp:coreProperties>
</file>